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Default="00967322" w:rsidP="001F7869">
      <w:pPr>
        <w:pStyle w:val="Title"/>
      </w:pPr>
      <w:bookmarkStart w:id="0" w:name="_GoBack"/>
      <w:bookmarkEnd w:id="0"/>
      <w:r>
        <w:t xml:space="preserve">PUC DOCKET NO. </w:t>
      </w:r>
      <w:r w:rsidR="00AB4BF5">
        <w:t>44541</w:t>
      </w:r>
      <w:r>
        <w:br/>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Pr="00AB4BF5" w:rsidRDefault="00AB4BF5">
            <w:pPr>
              <w:rPr>
                <w:b/>
              </w:rPr>
            </w:pPr>
            <w:r w:rsidRPr="00AB4BF5">
              <w:rPr>
                <w:b/>
              </w:rPr>
              <w:t>APPLICATION OF CITY OF HEATH TO AMEND A CERTIFICATE OF CONVENIENCE AND NECESSITY AND TO DECERTIFY A PORTION OF FORNEY LAKE WATER SUPPLY CORPORATION’S SERVICE AREA IN ROCKWALL COUNTY</w:t>
            </w:r>
          </w:p>
        </w:tc>
        <w:tc>
          <w:tcPr>
            <w:tcW w:w="360" w:type="dxa"/>
          </w:tcPr>
          <w:p w:rsidR="00967322" w:rsidRDefault="00967322">
            <w:pPr>
              <w:rPr>
                <w:b/>
              </w:rPr>
            </w:pPr>
            <w:r>
              <w:rPr>
                <w:b/>
              </w:rPr>
              <w:t>§</w:t>
            </w:r>
          </w:p>
          <w:p w:rsidR="00967322" w:rsidRDefault="00967322">
            <w:pPr>
              <w:rPr>
                <w:b/>
              </w:rPr>
            </w:pPr>
            <w:r>
              <w:rPr>
                <w:b/>
              </w:rPr>
              <w:t>§</w:t>
            </w:r>
          </w:p>
          <w:p w:rsidR="00967322" w:rsidRDefault="00AB4BF5">
            <w:pPr>
              <w:rPr>
                <w:b/>
              </w:rPr>
            </w:pPr>
            <w:r>
              <w:rPr>
                <w:b/>
              </w:rPr>
              <w:t>§§§§</w:t>
            </w:r>
            <w:r w:rsidR="00967322">
              <w:rPr>
                <w:b/>
              </w:rPr>
              <w:t>§</w:t>
            </w:r>
          </w:p>
        </w:tc>
        <w:tc>
          <w:tcPr>
            <w:tcW w:w="4482" w:type="dxa"/>
          </w:tcPr>
          <w:p w:rsidR="00EB59B9" w:rsidRDefault="00EB59B9">
            <w:pPr>
              <w:jc w:val="center"/>
              <w:rPr>
                <w:b/>
              </w:rPr>
            </w:pPr>
          </w:p>
          <w:p w:rsidR="00967322" w:rsidRDefault="00967322">
            <w:pPr>
              <w:jc w:val="center"/>
              <w:rPr>
                <w:b/>
              </w:rPr>
            </w:pPr>
            <w:r>
              <w:rPr>
                <w:b/>
              </w:rPr>
              <w:t>PUBLIC UTILITY COMMISSION</w:t>
            </w:r>
          </w:p>
          <w:p w:rsidR="00967322" w:rsidRDefault="00967322">
            <w:pPr>
              <w:jc w:val="center"/>
              <w:rPr>
                <w:b/>
              </w:rPr>
            </w:pPr>
          </w:p>
          <w:p w:rsidR="00EB59B9" w:rsidRDefault="00EB59B9">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967322">
      <w:pPr>
        <w:pStyle w:val="Title"/>
      </w:pPr>
      <w:r>
        <w:t>ORDER</w:t>
      </w:r>
      <w:r w:rsidR="00AB4BF5">
        <w:t xml:space="preserve"> ON APPEAL OF ORDER NO. 4</w:t>
      </w:r>
    </w:p>
    <w:p w:rsidR="0069556E" w:rsidRDefault="00AB4BF5" w:rsidP="00AB4BF5">
      <w:pPr>
        <w:pStyle w:val="BodyText"/>
      </w:pPr>
      <w:r w:rsidRPr="00501DAC">
        <w:t>This Order addresses the city of Heath</w:t>
      </w:r>
      <w:r w:rsidR="0015552F">
        <w:t>’s appeal</w:t>
      </w:r>
      <w:r w:rsidRPr="00501DAC">
        <w:t xml:space="preserve"> of Order No. 4.  In Order No. 4, the administrative law judge (ALJ) </w:t>
      </w:r>
      <w:r w:rsidR="00501DAC">
        <w:t>concluded that</w:t>
      </w:r>
      <w:r w:rsidR="00A11101">
        <w:t>,</w:t>
      </w:r>
      <w:r w:rsidR="00501DAC">
        <w:t xml:space="preserve"> </w:t>
      </w:r>
      <w:r w:rsidR="00A11101">
        <w:t xml:space="preserve">in order to be administratively complete, </w:t>
      </w:r>
      <w:r w:rsidR="00501DAC">
        <w:t xml:space="preserve">a municipality’s application for single certification under Texas Water Code (TWC) § 13.255 must contain all the information necessary to enable the Commission to issue an order containing all the determinations required by law.  In explaining this decision regarding </w:t>
      </w:r>
      <w:r w:rsidR="00A11101">
        <w:t>administrative</w:t>
      </w:r>
      <w:r w:rsidR="0015552F">
        <w:t xml:space="preserve"> </w:t>
      </w:r>
      <w:r w:rsidR="00A11101">
        <w:t>completeness</w:t>
      </w:r>
      <w:r w:rsidR="00501DAC">
        <w:t>, the</w:t>
      </w:r>
      <w:r w:rsidR="00EB59B9">
        <w:t xml:space="preserve"> </w:t>
      </w:r>
      <w:r w:rsidR="00501DAC">
        <w:t xml:space="preserve">ALJ noted that TWC § 13.255(g-1) and 16 </w:t>
      </w:r>
      <w:r w:rsidR="0069556E">
        <w:t>Texas Administrative Code (TAC)</w:t>
      </w:r>
      <w:r w:rsidR="0015552F">
        <w:t xml:space="preserve"> </w:t>
      </w:r>
      <w:r w:rsidR="0069556E">
        <w:t>§ 24.120(h) contemplate a 90-day timeline for</w:t>
      </w:r>
      <w:r w:rsidR="00A11101">
        <w:t xml:space="preserve"> issuance of a Commission order</w:t>
      </w:r>
      <w:r w:rsidR="0069556E">
        <w:t xml:space="preserve"> after the date on which an application is deemed administratively complete.</w:t>
      </w:r>
      <w:r w:rsidR="00501DAC">
        <w:t xml:space="preserve">  In this case, the ALJ concluded the </w:t>
      </w:r>
      <w:r w:rsidR="0069556E">
        <w:t xml:space="preserve">city of Heath’s </w:t>
      </w:r>
      <w:r w:rsidR="00501DAC">
        <w:t xml:space="preserve">application was deficient because it did not contain information to allow a determination of </w:t>
      </w:r>
      <w:r w:rsidR="00D23C1A">
        <w:t>whether any</w:t>
      </w:r>
      <w:r w:rsidR="00501DAC">
        <w:t xml:space="preserve"> retail public utility facilities would be rendered useless or valueless, nor did it contain the </w:t>
      </w:r>
      <w:r w:rsidR="00E644EA">
        <w:t xml:space="preserve">appraised </w:t>
      </w:r>
      <w:r w:rsidR="00501DAC">
        <w:t xml:space="preserve">value of </w:t>
      </w:r>
      <w:r w:rsidR="00E9350F">
        <w:t xml:space="preserve">any </w:t>
      </w:r>
      <w:r w:rsidR="00501DAC">
        <w:t>such f</w:t>
      </w:r>
      <w:r w:rsidR="001E5075">
        <w:t>acilities.</w:t>
      </w:r>
    </w:p>
    <w:p w:rsidR="00AB4BF5" w:rsidRPr="0069556E" w:rsidRDefault="00AB4BF5" w:rsidP="00AB4BF5">
      <w:pPr>
        <w:pStyle w:val="BodyText"/>
      </w:pPr>
      <w:r w:rsidRPr="0069556E">
        <w:t xml:space="preserve">The Commission affirms the ALJ’s ruling </w:t>
      </w:r>
      <w:r w:rsidR="0069556E" w:rsidRPr="0069556E">
        <w:t>i</w:t>
      </w:r>
      <w:r w:rsidRPr="0069556E">
        <w:t xml:space="preserve">n Order No. </w:t>
      </w:r>
      <w:r w:rsidR="0069556E" w:rsidRPr="0069556E">
        <w:t>4</w:t>
      </w:r>
      <w:r w:rsidRPr="0069556E">
        <w:t xml:space="preserve"> </w:t>
      </w:r>
      <w:r w:rsidR="0069556E" w:rsidRPr="0069556E">
        <w:t>that an administratively complete application under TWC § 13.255 must contain all the information necessary for the Commission to make the legal</w:t>
      </w:r>
      <w:r w:rsidR="00715895">
        <w:t>ly-</w:t>
      </w:r>
      <w:r w:rsidR="00715895" w:rsidRPr="0069556E">
        <w:t>required</w:t>
      </w:r>
      <w:r w:rsidR="0069556E" w:rsidRPr="0069556E">
        <w:t xml:space="preserve"> determinations</w:t>
      </w:r>
      <w:r w:rsidRPr="0069556E">
        <w:t>.</w:t>
      </w:r>
      <w:r w:rsidR="0069556E">
        <w:t xml:space="preserve">  </w:t>
      </w:r>
      <w:r w:rsidR="00715895">
        <w:t>Additionally, th</w:t>
      </w:r>
      <w:r w:rsidR="0069556E">
        <w:t xml:space="preserve">e </w:t>
      </w:r>
      <w:r w:rsidR="00715895">
        <w:t xml:space="preserve">Commission notes that </w:t>
      </w:r>
      <w:r w:rsidR="0069556E">
        <w:t xml:space="preserve">the city of Heath has </w:t>
      </w:r>
      <w:r w:rsidR="00715895">
        <w:t xml:space="preserve">asserted, through </w:t>
      </w:r>
      <w:r w:rsidR="0069556E">
        <w:t xml:space="preserve">attested materials in </w:t>
      </w:r>
      <w:r w:rsidR="00715895">
        <w:t>the city’s</w:t>
      </w:r>
      <w:r w:rsidR="0069556E">
        <w:t xml:space="preserve"> amended</w:t>
      </w:r>
      <w:r w:rsidR="00715895">
        <w:t xml:space="preserve"> </w:t>
      </w:r>
      <w:r w:rsidR="0069556E">
        <w:t>application</w:t>
      </w:r>
      <w:r w:rsidR="00BB41C5">
        <w:t>,</w:t>
      </w:r>
      <w:r w:rsidR="00715895">
        <w:t xml:space="preserve"> </w:t>
      </w:r>
      <w:r w:rsidR="0069556E">
        <w:t>that no retail public</w:t>
      </w:r>
      <w:r w:rsidR="00715895">
        <w:t xml:space="preserve"> utility facilities will be rendered useless or valueless and therefore no appraisals are needed.  Consequently, the Commission also remands Order No. 4 to the ALJ to </w:t>
      </w:r>
      <w:r w:rsidR="008B4D50">
        <w:t>consider</w:t>
      </w:r>
      <w:r w:rsidR="00715895">
        <w:t xml:space="preserve"> whether the city’s amended application </w:t>
      </w:r>
      <w:r w:rsidR="00E644EA">
        <w:t xml:space="preserve">now </w:t>
      </w:r>
      <w:r w:rsidR="00715895">
        <w:t xml:space="preserve">meets the </w:t>
      </w:r>
      <w:r w:rsidR="0015552F">
        <w:t xml:space="preserve">city’s </w:t>
      </w:r>
      <w:r w:rsidR="00715895">
        <w:t>initial burden to show</w:t>
      </w:r>
      <w:r w:rsidR="001679D6">
        <w:t xml:space="preserve"> no facilities will be rendered useless or valueless and </w:t>
      </w:r>
      <w:r w:rsidR="008B4D50">
        <w:t>thus no appraisals are required.</w:t>
      </w:r>
    </w:p>
    <w:p w:rsidR="00967322" w:rsidRPr="00894533" w:rsidRDefault="008F66B2" w:rsidP="00070BF2">
      <w:pPr>
        <w:pStyle w:val="Heading1"/>
        <w:spacing w:before="240"/>
      </w:pPr>
      <w:r w:rsidRPr="00894533">
        <w:lastRenderedPageBreak/>
        <w:t xml:space="preserve"> </w:t>
      </w:r>
      <w:r w:rsidR="007E346D" w:rsidRPr="00894533">
        <w:t>Background</w:t>
      </w:r>
    </w:p>
    <w:p w:rsidR="004B7451" w:rsidRDefault="00894533" w:rsidP="00894533">
      <w:pPr>
        <w:pStyle w:val="BodyText"/>
      </w:pPr>
      <w:r w:rsidRPr="004A0D49">
        <w:t xml:space="preserve">This case </w:t>
      </w:r>
      <w:r>
        <w:t>addresses the city of Heath’s application</w:t>
      </w:r>
      <w:r w:rsidR="00282FA7">
        <w:t xml:space="preserve"> under TWC § 13.255</w:t>
      </w:r>
      <w:r>
        <w:t xml:space="preserve"> for single certification</w:t>
      </w:r>
      <w:r w:rsidR="00282FA7">
        <w:t xml:space="preserve"> of areas that have been incorporated or annexed by the city</w:t>
      </w:r>
      <w:r w:rsidRPr="004A0D49">
        <w:t>.</w:t>
      </w:r>
      <w:r w:rsidR="004B7451">
        <w:t xml:space="preserve">  Given the recent transfer of jurisdiction to the Commission over such proceedings, a brief overview is appropriate. </w:t>
      </w:r>
    </w:p>
    <w:p w:rsidR="00894533" w:rsidRDefault="00282FA7" w:rsidP="00894533">
      <w:pPr>
        <w:pStyle w:val="BodyText"/>
      </w:pPr>
      <w:r>
        <w:t>The Texas Legislature, through TWC §</w:t>
      </w:r>
      <w:r w:rsidR="00EB59B9">
        <w:t> </w:t>
      </w:r>
      <w:r>
        <w:t>13.255(a),</w:t>
      </w:r>
      <w:r w:rsidR="00894533" w:rsidRPr="004A0D49">
        <w:t xml:space="preserve"> </w:t>
      </w:r>
      <w:r>
        <w:t>e</w:t>
      </w:r>
      <w:r w:rsidR="003756DA">
        <w:t>mpowers</w:t>
      </w:r>
      <w:r w:rsidR="00894533" w:rsidRPr="004A0D49">
        <w:t xml:space="preserve"> a municipality and a retail public utility that provides water or sewer service to all or part of an area that is annexed or incorporated by the municipality to agree in writing that all or part of the area may be served by a municipally-owned utility, a franchised utility, or the retail public utility.  Under TWC § 13.255(b), if such a written agreement is not executed within 180 days after the municipality notified the retail public utility of the municipality’s intent to provide service to the annexed or incorporated area, and the municipality </w:t>
      </w:r>
      <w:r w:rsidR="00894533">
        <w:t xml:space="preserve">still </w:t>
      </w:r>
      <w:r w:rsidR="00894533" w:rsidRPr="004A0D49">
        <w:t>intends to serve the area, the municipality must file an application for single certification with the Commission.  If the municipality files an application for single certification, the Commission must fix a hearing and notify the municipality</w:t>
      </w:r>
      <w:r w:rsidR="00894533">
        <w:t xml:space="preserve"> and</w:t>
      </w:r>
      <w:r w:rsidR="00894533" w:rsidRPr="004A0D49">
        <w:t xml:space="preserve"> the franchised utility (if any)</w:t>
      </w:r>
      <w:r w:rsidR="00894533">
        <w:t xml:space="preserve"> of the hearing.</w:t>
      </w:r>
      <w:r w:rsidR="00894533">
        <w:rPr>
          <w:rStyle w:val="FootnoteReference"/>
        </w:rPr>
        <w:footnoteReference w:id="1"/>
      </w:r>
      <w:r w:rsidR="00894533">
        <w:t xml:space="preserve">  The Commission must also notify</w:t>
      </w:r>
      <w:r w:rsidR="00894533" w:rsidRPr="004A0D49">
        <w:t xml:space="preserve"> the </w:t>
      </w:r>
      <w:r w:rsidR="00894533">
        <w:t xml:space="preserve">affected </w:t>
      </w:r>
      <w:r w:rsidR="00894533" w:rsidRPr="004A0D49">
        <w:t>retail public utility</w:t>
      </w:r>
      <w:r w:rsidR="00894533">
        <w:t xml:space="preserve"> of the municipality’s application for single certification and the hearing</w:t>
      </w:r>
      <w:r w:rsidR="00894533" w:rsidRPr="004A0D49">
        <w:t>.</w:t>
      </w:r>
      <w:r w:rsidR="00894533" w:rsidRPr="004A0D49">
        <w:rPr>
          <w:rStyle w:val="FootnoteReference"/>
        </w:rPr>
        <w:footnoteReference w:id="2"/>
      </w:r>
    </w:p>
    <w:p w:rsidR="001C44B4" w:rsidRDefault="00894533" w:rsidP="00894533">
      <w:pPr>
        <w:pStyle w:val="BodyText"/>
      </w:pPr>
      <w:r w:rsidRPr="004A0D49">
        <w:t xml:space="preserve">Under TWC § 13.255(c), the Commission must grant single certification to </w:t>
      </w:r>
      <w:r>
        <w:t xml:space="preserve">a </w:t>
      </w:r>
      <w:r w:rsidRPr="004A0D49">
        <w:t>municipality.  The Commission’s order must also determine whether the single certification renders useless or valueless any property of the retail public utility and determine the adequate and just monetary compensation to the retail public utility for such property.</w:t>
      </w:r>
      <w:r w:rsidRPr="004A0D49">
        <w:rPr>
          <w:rStyle w:val="FootnoteReference"/>
        </w:rPr>
        <w:footnoteReference w:id="3"/>
      </w:r>
      <w:r w:rsidRPr="004A0D49">
        <w:t xml:space="preserve">  Consistent with TWC</w:t>
      </w:r>
      <w:r w:rsidR="00282FA7">
        <w:t> </w:t>
      </w:r>
      <w:r w:rsidRPr="004A0D49">
        <w:t>§</w:t>
      </w:r>
      <w:r>
        <w:t> </w:t>
      </w:r>
      <w:r w:rsidRPr="004A0D49">
        <w:t xml:space="preserve">13.255(g-1), the Commission has adopted a rule </w:t>
      </w:r>
      <w:r w:rsidR="00A52991">
        <w:t>with</w:t>
      </w:r>
      <w:r w:rsidRPr="004A0D49">
        <w:t xml:space="preserve"> procedures to ensure that the compensation to be paid to a retail public utility is determined within 90 calendar days of the </w:t>
      </w:r>
      <w:r>
        <w:t xml:space="preserve">Commission finding that the </w:t>
      </w:r>
      <w:r w:rsidRPr="004A0D49">
        <w:t xml:space="preserve">municipality </w:t>
      </w:r>
      <w:r>
        <w:t xml:space="preserve">has </w:t>
      </w:r>
      <w:r w:rsidRPr="004A0D49">
        <w:t>fil</w:t>
      </w:r>
      <w:r>
        <w:t>ed</w:t>
      </w:r>
      <w:r w:rsidRPr="004A0D49">
        <w:t xml:space="preserve"> an administratively-complete application</w:t>
      </w:r>
      <w:r>
        <w:t xml:space="preserve"> for single certification</w:t>
      </w:r>
      <w:r w:rsidR="00EB59B9">
        <w:t>.</w:t>
      </w:r>
      <w:r w:rsidRPr="004A0D49">
        <w:rPr>
          <w:rStyle w:val="FootnoteReference"/>
        </w:rPr>
        <w:footnoteReference w:id="4"/>
      </w:r>
    </w:p>
    <w:p w:rsidR="00894533" w:rsidRDefault="001C44B4" w:rsidP="00894533">
      <w:pPr>
        <w:pStyle w:val="BodyText"/>
      </w:pPr>
      <w:r>
        <w:t>TWC §</w:t>
      </w:r>
      <w:r w:rsidR="00EB59B9">
        <w:t> </w:t>
      </w:r>
      <w:r>
        <w:t xml:space="preserve">13.255(l) and </w:t>
      </w:r>
      <w:r w:rsidR="00282FA7">
        <w:t xml:space="preserve">16 </w:t>
      </w:r>
      <w:r w:rsidR="00282FA7" w:rsidRPr="004A0D49">
        <w:t>TAC §</w:t>
      </w:r>
      <w:r w:rsidR="00EB59B9">
        <w:t> </w:t>
      </w:r>
      <w:r w:rsidR="00282FA7" w:rsidRPr="004A0D49">
        <w:t>24.120</w:t>
      </w:r>
      <w:r w:rsidR="00282FA7">
        <w:t xml:space="preserve"> </w:t>
      </w:r>
      <w:r w:rsidR="00894533" w:rsidRPr="004A0D49">
        <w:t xml:space="preserve">also provide processes and timelines for the appointment of one to three independent appraisers (depending on whether the subject area was incorporated or annexed and, if annexed, whether agreement can be reached on an appraiser </w:t>
      </w:r>
      <w:r w:rsidR="00894533">
        <w:t>or</w:t>
      </w:r>
      <w:r w:rsidR="00894533" w:rsidRPr="004A0D49">
        <w:t xml:space="preserve"> </w:t>
      </w:r>
      <w:r w:rsidR="00894533" w:rsidRPr="004A0D49">
        <w:lastRenderedPageBreak/>
        <w:t>whether two appraisers can agree on the appropriate compensation).</w:t>
      </w:r>
      <w:r w:rsidR="00894533" w:rsidRPr="004A0D49">
        <w:rPr>
          <w:rStyle w:val="FootnoteReference"/>
        </w:rPr>
        <w:footnoteReference w:id="5"/>
      </w:r>
      <w:r w:rsidR="002D4369">
        <w:t xml:space="preserve">  </w:t>
      </w:r>
      <w:r w:rsidR="00175869">
        <w:t>Neither the Commission’s rule nor the application form</w:t>
      </w:r>
      <w:r w:rsidR="00282FA7">
        <w:t xml:space="preserve"> explicitly </w:t>
      </w:r>
      <w:r w:rsidR="00175869">
        <w:t xml:space="preserve">address whether </w:t>
      </w:r>
      <w:r w:rsidR="00CB2CE1">
        <w:t>the identification of any affected facilities</w:t>
      </w:r>
      <w:r>
        <w:t xml:space="preserve"> or any necessary appraisals</w:t>
      </w:r>
      <w:r w:rsidR="00175869">
        <w:t xml:space="preserve"> must be included </w:t>
      </w:r>
      <w:r w:rsidR="009E5651">
        <w:t>in an administratively complete application.</w:t>
      </w:r>
      <w:r w:rsidR="001254FB">
        <w:t xml:space="preserve">  However, because an </w:t>
      </w:r>
      <w:r w:rsidR="00DB3883">
        <w:t>eligible</w:t>
      </w:r>
      <w:r w:rsidR="001254FB">
        <w:t xml:space="preserve"> municipality is entitled to single-certification under TWC §</w:t>
      </w:r>
      <w:r w:rsidR="00EB59B9">
        <w:t> </w:t>
      </w:r>
      <w:r w:rsidR="001254FB">
        <w:t xml:space="preserve">13.255, the crux of a proceeding under this provision is identifying the parts of the retail public utilities’ service area that will be decertified, identifying any of the utility’s facilities that will be rendered useless or valueless, and determining the </w:t>
      </w:r>
      <w:r w:rsidR="00CB2CE1">
        <w:t xml:space="preserve">adequate and just </w:t>
      </w:r>
      <w:r w:rsidR="001254FB">
        <w:t xml:space="preserve">monetary compensation for </w:t>
      </w:r>
      <w:r w:rsidR="00CB2CE1">
        <w:t xml:space="preserve">any </w:t>
      </w:r>
      <w:r w:rsidR="00EB59B9">
        <w:t>such facilities.</w:t>
      </w:r>
    </w:p>
    <w:p w:rsidR="00A52991" w:rsidRDefault="00E43B5F" w:rsidP="00070BF2">
      <w:pPr>
        <w:pStyle w:val="Heading1"/>
        <w:spacing w:before="240"/>
      </w:pPr>
      <w:r>
        <w:t>Administrative completeness</w:t>
      </w:r>
    </w:p>
    <w:p w:rsidR="00A06296" w:rsidRDefault="00E43B5F" w:rsidP="00894533">
      <w:pPr>
        <w:pStyle w:val="BodyText"/>
      </w:pPr>
      <w:r w:rsidRPr="00E43B5F">
        <w:t>In this case,</w:t>
      </w:r>
      <w:r w:rsidR="00DB3883">
        <w:t xml:space="preserve"> Commission Staff recommended that the city of Heath’s application, as originally filed, was not administratively complete in part because the application did not contain sufficient information for review within a 90-day process.</w:t>
      </w:r>
      <w:r w:rsidR="00DB3883">
        <w:rPr>
          <w:rStyle w:val="FootnoteReference"/>
        </w:rPr>
        <w:footnoteReference w:id="6"/>
      </w:r>
      <w:r w:rsidR="00DB3883">
        <w:t xml:space="preserve">  Staff noted </w:t>
      </w:r>
      <w:r w:rsidR="00A06296">
        <w:t>the city indicated that Forney Lake Water Supply Corporation possesses water lines in the affected area, but the city failed to indicate whether any Forney Lake facilities would be rendered useless or valueless.</w:t>
      </w:r>
      <w:r w:rsidR="00A06296">
        <w:rPr>
          <w:rStyle w:val="FootnoteReference"/>
        </w:rPr>
        <w:footnoteReference w:id="7"/>
      </w:r>
      <w:r w:rsidR="00A06296">
        <w:t xml:space="preserve">  Furthermore, Staff stated, the city did not include in its application whether the city expects to select an appraiser and the steps the city had taken to select an appraiser.</w:t>
      </w:r>
      <w:r w:rsidR="00A06296">
        <w:rPr>
          <w:rStyle w:val="FootnoteReference"/>
        </w:rPr>
        <w:footnoteReference w:id="8"/>
      </w:r>
    </w:p>
    <w:p w:rsidR="00342493" w:rsidRDefault="00A06296" w:rsidP="00894533">
      <w:pPr>
        <w:pStyle w:val="BodyText"/>
      </w:pPr>
      <w:r>
        <w:t>After the city made filings</w:t>
      </w:r>
      <w:r w:rsidR="00CB2CE1">
        <w:t>,</w:t>
      </w:r>
      <w:r w:rsidR="00AC376C">
        <w:t xml:space="preserve"> including an amendment to its application</w:t>
      </w:r>
      <w:r w:rsidR="00CB2CE1">
        <w:t>,</w:t>
      </w:r>
      <w:r>
        <w:t xml:space="preserve"> seeking to cure identified deficiencies in the application, the city</w:t>
      </w:r>
      <w:r w:rsidR="00AC376C">
        <w:t>, Forney Lake,</w:t>
      </w:r>
      <w:r>
        <w:t xml:space="preserve"> and Commission Staff jointly filed a proposed procedural schedule that contemplated a grant of a good cause exception to the 90-day </w:t>
      </w:r>
      <w:r w:rsidR="00AC376C">
        <w:t>process.</w:t>
      </w:r>
      <w:r w:rsidR="00AC376C">
        <w:rPr>
          <w:rStyle w:val="FootnoteReference"/>
        </w:rPr>
        <w:footnoteReference w:id="9"/>
      </w:r>
      <w:r w:rsidR="00AC376C">
        <w:t xml:space="preserve">  In a separate filing, </w:t>
      </w:r>
      <w:r w:rsidR="00CB2CE1">
        <w:t>Commission Staff recommended that if the joint</w:t>
      </w:r>
      <w:r w:rsidR="00D06422">
        <w:t>-</w:t>
      </w:r>
      <w:r w:rsidR="00CB2CE1">
        <w:t>proposed procedural schedule was adopted, the city’s application should be deemed administratively complete.</w:t>
      </w:r>
      <w:r w:rsidR="00CB2CE1">
        <w:rPr>
          <w:rStyle w:val="FootnoteReference"/>
        </w:rPr>
        <w:footnoteReference w:id="10"/>
      </w:r>
      <w:r w:rsidR="00D06422">
        <w:t xml:space="preserve">  </w:t>
      </w:r>
      <w:r w:rsidR="001E5075">
        <w:t xml:space="preserve">Commission </w:t>
      </w:r>
      <w:r w:rsidR="00D06422">
        <w:t xml:space="preserve">Staff further stated that normally it would recommend that a municipality </w:t>
      </w:r>
      <w:r w:rsidR="00D06422">
        <w:lastRenderedPageBreak/>
        <w:t>be required to submit the required appraisals before the application is deemed administratively complete.</w:t>
      </w:r>
      <w:r w:rsidR="00D06422">
        <w:rPr>
          <w:rStyle w:val="FootnoteReference"/>
        </w:rPr>
        <w:footnoteReference w:id="11"/>
      </w:r>
    </w:p>
    <w:p w:rsidR="00342493" w:rsidRPr="00F93785" w:rsidRDefault="00342493" w:rsidP="00370B07">
      <w:pPr>
        <w:pStyle w:val="BodyText"/>
        <w:rPr>
          <w:szCs w:val="24"/>
        </w:rPr>
      </w:pPr>
      <w:r>
        <w:t>In Order No. 4, the ALJ concluded</w:t>
      </w:r>
      <w:r w:rsidR="001E5075">
        <w:t xml:space="preserve"> that</w:t>
      </w:r>
      <w:r>
        <w:t xml:space="preserve"> the city of Heath’s application was not administratively complete because it did not contain information to allow a determination of wh</w:t>
      </w:r>
      <w:r w:rsidR="00D23C1A">
        <w:t>ether</w:t>
      </w:r>
      <w:r>
        <w:t xml:space="preserve"> </w:t>
      </w:r>
      <w:r w:rsidR="00D23C1A">
        <w:t xml:space="preserve">any </w:t>
      </w:r>
      <w:r>
        <w:t xml:space="preserve">retail public utility facilities would be rendered useless or valueless, nor did it contain the appraised value of such facilities.  </w:t>
      </w:r>
      <w:r w:rsidRPr="00F93785">
        <w:rPr>
          <w:szCs w:val="24"/>
        </w:rPr>
        <w:t xml:space="preserve">The city of Heath appealed Order No. 4 </w:t>
      </w:r>
      <w:r w:rsidR="00070BF2" w:rsidRPr="00F93785">
        <w:rPr>
          <w:szCs w:val="24"/>
        </w:rPr>
        <w:t xml:space="preserve">arguing, </w:t>
      </w:r>
      <w:r w:rsidR="00070BF2" w:rsidRPr="00F93785">
        <w:rPr>
          <w:i/>
          <w:szCs w:val="24"/>
        </w:rPr>
        <w:t>inter alia</w:t>
      </w:r>
      <w:r w:rsidR="00070BF2" w:rsidRPr="00F93785">
        <w:rPr>
          <w:szCs w:val="24"/>
        </w:rPr>
        <w:t xml:space="preserve">, </w:t>
      </w:r>
      <w:r w:rsidR="00370B07" w:rsidRPr="00F93785">
        <w:rPr>
          <w:szCs w:val="24"/>
        </w:rPr>
        <w:t xml:space="preserve">that the </w:t>
      </w:r>
      <w:r w:rsidR="00370B07" w:rsidRPr="00F93785">
        <w:rPr>
          <w:snapToGrid/>
          <w:szCs w:val="24"/>
        </w:rPr>
        <w:t>ALJ erred in determining that the city’s application had to contain the appraisals because the application form does not require the submission of</w:t>
      </w:r>
      <w:r w:rsidR="00070BF2" w:rsidRPr="00F93785">
        <w:rPr>
          <w:szCs w:val="24"/>
        </w:rPr>
        <w:t xml:space="preserve"> </w:t>
      </w:r>
      <w:r w:rsidR="00370B07" w:rsidRPr="00F93785">
        <w:rPr>
          <w:snapToGrid/>
          <w:szCs w:val="24"/>
        </w:rPr>
        <w:t>appraisals and because it would be unreasonable and impractical to require the performance of unnecessary appraisals</w:t>
      </w:r>
      <w:r w:rsidR="00F93785">
        <w:rPr>
          <w:snapToGrid/>
          <w:szCs w:val="24"/>
        </w:rPr>
        <w:t>.</w:t>
      </w:r>
      <w:r w:rsidR="00F93785">
        <w:rPr>
          <w:rStyle w:val="FootnoteReference"/>
          <w:snapToGrid/>
          <w:szCs w:val="24"/>
        </w:rPr>
        <w:footnoteReference w:id="12"/>
      </w:r>
    </w:p>
    <w:p w:rsidR="00342493" w:rsidRDefault="00342493" w:rsidP="00070BF2">
      <w:pPr>
        <w:pStyle w:val="Heading1"/>
        <w:spacing w:before="240"/>
      </w:pPr>
      <w:r>
        <w:t>Commission Determination</w:t>
      </w:r>
    </w:p>
    <w:p w:rsidR="00304B35" w:rsidRDefault="00342493" w:rsidP="00342493">
      <w:pPr>
        <w:pStyle w:val="BodyText"/>
      </w:pPr>
      <w:r>
        <w:t>The Commission upholds the ALJ’s conclusion in Order No. 4 that</w:t>
      </w:r>
      <w:r w:rsidR="00304B35">
        <w:t xml:space="preserve"> an administratively complete application under TWC §</w:t>
      </w:r>
      <w:r w:rsidR="001E5075">
        <w:t> </w:t>
      </w:r>
      <w:r w:rsidR="00304B35">
        <w:t>13.255</w:t>
      </w:r>
      <w:r>
        <w:t xml:space="preserve"> </w:t>
      </w:r>
      <w:r w:rsidR="00304B35">
        <w:t xml:space="preserve">must contain all the information necessary for timely issuance of an order containing all the determinations required by law.  </w:t>
      </w:r>
      <w:r w:rsidR="00EB59B9">
        <w:t>This would include identification of any facilities that are rendered useless or valueless as a result of the single certification and an appraisal of those facilities.  T</w:t>
      </w:r>
      <w:r w:rsidR="00304B35">
        <w:t>he Commission notes</w:t>
      </w:r>
      <w:r w:rsidR="00EB59B9">
        <w:t>, however, that</w:t>
      </w:r>
      <w:r w:rsidR="00304B35">
        <w:t xml:space="preserve"> there may</w:t>
      </w:r>
      <w:r w:rsidR="00EB59B9">
        <w:t xml:space="preserve"> </w:t>
      </w:r>
      <w:r w:rsidR="00304B35">
        <w:t>be proceedings under TWC §</w:t>
      </w:r>
      <w:r w:rsidR="00EB59B9">
        <w:t> </w:t>
      </w:r>
      <w:r w:rsidR="00304B35">
        <w:t>13.255 in which appraisals are not needed because</w:t>
      </w:r>
      <w:r w:rsidR="00EB59B9">
        <w:t xml:space="preserve"> no facilities would be rendered useless or valueless.  In such a case, an</w:t>
      </w:r>
      <w:r w:rsidR="00304B35">
        <w:t xml:space="preserve"> applica</w:t>
      </w:r>
      <w:r w:rsidR="00EB59B9">
        <w:t>tion would be administratively complete if the application contains material that demonstrates that there are no facilities of a</w:t>
      </w:r>
      <w:r w:rsidR="00304B35">
        <w:t xml:space="preserve"> retail public utilities that will be rendered useless or valueless.</w:t>
      </w:r>
    </w:p>
    <w:p w:rsidR="00342493" w:rsidRPr="00342493" w:rsidRDefault="00304B35" w:rsidP="00342493">
      <w:pPr>
        <w:pStyle w:val="BodyText"/>
      </w:pPr>
      <w:r>
        <w:t xml:space="preserve">In Order No. 4, the Commission ALJ did not address whether the city of Heath, through its amended application that included attested materials, had </w:t>
      </w:r>
      <w:r w:rsidR="001E5075">
        <w:t>adequately demonstrated that there are no facilities that will be rendered useless or valueless as a result of single certification</w:t>
      </w:r>
      <w:r>
        <w:t xml:space="preserve">.  Therefore the Commission also remands Order No. 4 to the ALJ for </w:t>
      </w:r>
      <w:r w:rsidR="001E5075">
        <w:t>re</w:t>
      </w:r>
      <w:r>
        <w:t>consideration</w:t>
      </w:r>
      <w:r w:rsidR="001E5075">
        <w:t xml:space="preserve"> of whether the application is administratively complete</w:t>
      </w:r>
      <w:r>
        <w:t xml:space="preserve"> consistent with the Commis</w:t>
      </w:r>
      <w:r w:rsidR="001E5075">
        <w:t>sion’s decisions in this order.</w:t>
      </w:r>
    </w:p>
    <w:p w:rsidR="00967322" w:rsidRDefault="00967322" w:rsidP="002A1501">
      <w:pPr>
        <w:keepNext/>
        <w:spacing w:line="480" w:lineRule="auto"/>
        <w:ind w:firstLine="720"/>
        <w:rPr>
          <w:b/>
        </w:rPr>
      </w:pPr>
      <w:r>
        <w:rPr>
          <w:b/>
        </w:rPr>
        <w:lastRenderedPageBreak/>
        <w:t xml:space="preserve">SIGNED AT AUSTIN, TEXAS the </w:t>
      </w:r>
      <w:r>
        <w:t xml:space="preserve">______ </w:t>
      </w:r>
      <w:r>
        <w:rPr>
          <w:b/>
        </w:rPr>
        <w:t xml:space="preserve">day of </w:t>
      </w:r>
      <w:r w:rsidR="001E5075">
        <w:rPr>
          <w:b/>
        </w:rPr>
        <w:t>August</w:t>
      </w:r>
      <w:r w:rsidRPr="001F7869">
        <w:rPr>
          <w:b/>
        </w:rPr>
        <w:t xml:space="preserve"> 2</w:t>
      </w:r>
      <w:r>
        <w:rPr>
          <w:b/>
        </w:rPr>
        <w:t>0</w:t>
      </w:r>
      <w:r w:rsidR="007E346D">
        <w:rPr>
          <w:b/>
        </w:rPr>
        <w:t>15</w:t>
      </w:r>
    </w:p>
    <w:p w:rsidR="00967322" w:rsidRDefault="00967322">
      <w:pPr>
        <w:keepNext/>
        <w:tabs>
          <w:tab w:val="left" w:pos="3600"/>
        </w:tabs>
      </w:pPr>
    </w:p>
    <w:p w:rsidR="008F66B2" w:rsidRPr="008F66B2" w:rsidRDefault="008F66B2" w:rsidP="00F46A0E">
      <w:pPr>
        <w:pStyle w:val="BodyText"/>
        <w:keepNext/>
        <w:ind w:left="2880" w:firstLine="0"/>
        <w:rPr>
          <w:b/>
          <w:szCs w:val="24"/>
        </w:rPr>
      </w:pPr>
      <w:r w:rsidRPr="008F66B2">
        <w:rPr>
          <w:b/>
        </w:rPr>
        <w:t xml:space="preserve">PUBLIC UTILITY COMMISSION OF </w:t>
      </w:r>
      <w:smartTag w:uri="urn:schemas-microsoft-com:office:smarttags" w:element="place">
        <w:smartTag w:uri="urn:schemas-microsoft-com:office:smarttags" w:element="State">
          <w:r w:rsidRPr="008F66B2">
            <w:rPr>
              <w:b/>
            </w:rPr>
            <w:t>TEXAS</w:t>
          </w:r>
        </w:smartTag>
      </w:smartTag>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423FED" w:rsidRDefault="00FD6764" w:rsidP="00F46A0E">
      <w:pPr>
        <w:keepNext/>
        <w:tabs>
          <w:tab w:val="left" w:pos="2880"/>
          <w:tab w:val="left" w:pos="8370"/>
        </w:tabs>
        <w:rPr>
          <w:b/>
          <w:szCs w:val="24"/>
        </w:rPr>
      </w:pPr>
      <w:r>
        <w:rPr>
          <w:b/>
          <w:szCs w:val="24"/>
        </w:rPr>
        <w:tab/>
      </w:r>
      <w:r w:rsidR="008F66B2" w:rsidRPr="00423FED">
        <w:rPr>
          <w:b/>
          <w:szCs w:val="24"/>
          <w:u w:val="single"/>
        </w:rPr>
        <w:tab/>
      </w:r>
    </w:p>
    <w:p w:rsidR="008F66B2" w:rsidRPr="00423FED" w:rsidRDefault="008F66B2" w:rsidP="008F66B2">
      <w:pPr>
        <w:keepNext/>
        <w:tabs>
          <w:tab w:val="left" w:pos="2880"/>
          <w:tab w:val="left" w:pos="8640"/>
        </w:tabs>
        <w:rPr>
          <w:b/>
          <w:szCs w:val="24"/>
        </w:rPr>
      </w:pPr>
      <w:r w:rsidRPr="00423FED">
        <w:rPr>
          <w:b/>
          <w:szCs w:val="24"/>
        </w:rPr>
        <w:tab/>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7E66D7" w:rsidRDefault="008F66B2" w:rsidP="00F46A0E">
      <w:pPr>
        <w:keepNext/>
        <w:tabs>
          <w:tab w:val="left" w:pos="2880"/>
          <w:tab w:val="left" w:pos="8370"/>
        </w:tabs>
        <w:rPr>
          <w:b/>
          <w:szCs w:val="24"/>
        </w:rPr>
      </w:pPr>
      <w:r>
        <w:rPr>
          <w:b/>
          <w:szCs w:val="24"/>
        </w:rPr>
        <w:tab/>
      </w:r>
      <w:r>
        <w:rPr>
          <w:b/>
          <w:szCs w:val="24"/>
          <w:u w:val="single"/>
        </w:rPr>
        <w:tab/>
      </w:r>
    </w:p>
    <w:p w:rsidR="008F66B2" w:rsidRDefault="008F66B2" w:rsidP="008F66B2">
      <w:pPr>
        <w:keepNext/>
        <w:tabs>
          <w:tab w:val="left" w:pos="2880"/>
          <w:tab w:val="left" w:pos="8640"/>
        </w:tabs>
        <w:rPr>
          <w:b/>
          <w:szCs w:val="24"/>
        </w:rPr>
      </w:pPr>
      <w:r w:rsidRPr="00423FED">
        <w:rPr>
          <w:b/>
          <w:szCs w:val="24"/>
        </w:rPr>
        <w:tab/>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7E66D7" w:rsidRDefault="00F46A0E" w:rsidP="00F46A0E">
      <w:pPr>
        <w:keepNext/>
        <w:tabs>
          <w:tab w:val="left" w:pos="2880"/>
          <w:tab w:val="left" w:pos="8370"/>
        </w:tabs>
        <w:rPr>
          <w:b/>
          <w:szCs w:val="24"/>
        </w:rPr>
      </w:pPr>
      <w:r>
        <w:rPr>
          <w:b/>
          <w:szCs w:val="24"/>
        </w:rPr>
        <w:tab/>
      </w:r>
      <w:r>
        <w:rPr>
          <w:b/>
          <w:szCs w:val="24"/>
          <w:u w:val="single"/>
        </w:rPr>
        <w:tab/>
      </w:r>
    </w:p>
    <w:p w:rsidR="00F46A0E" w:rsidRDefault="00F46A0E" w:rsidP="00F46A0E">
      <w:pPr>
        <w:keepNext/>
        <w:tabs>
          <w:tab w:val="left" w:pos="2880"/>
          <w:tab w:val="left" w:pos="8640"/>
        </w:tabs>
        <w:rPr>
          <w:b/>
          <w:szCs w:val="24"/>
        </w:rPr>
      </w:pPr>
      <w:r w:rsidRPr="00423FED">
        <w:rPr>
          <w:b/>
          <w:szCs w:val="24"/>
        </w:rPr>
        <w:tab/>
      </w:r>
      <w:r w:rsidR="0010502B">
        <w:rPr>
          <w:b/>
          <w:szCs w:val="24"/>
        </w:rPr>
        <w:t>BRANDY MARTY</w:t>
      </w:r>
      <w:r w:rsidR="00FB52D3">
        <w:rPr>
          <w:b/>
          <w:szCs w:val="24"/>
        </w:rPr>
        <w:t xml:space="preserve"> MARQUEZ</w:t>
      </w:r>
      <w:r>
        <w:rPr>
          <w:b/>
          <w:szCs w:val="24"/>
        </w:rPr>
        <w:t>, COMMISSIONER</w:t>
      </w:r>
    </w:p>
    <w:p w:rsidR="008F66B2" w:rsidRDefault="008F66B2">
      <w:pPr>
        <w:keepNext/>
        <w:rPr>
          <w:sz w:val="16"/>
        </w:rPr>
      </w:pPr>
    </w:p>
    <w:p w:rsidR="008F66B2" w:rsidRDefault="008F66B2">
      <w:pPr>
        <w:keepNext/>
        <w:rPr>
          <w:sz w:val="16"/>
        </w:rPr>
      </w:pPr>
    </w:p>
    <w:p w:rsidR="008F66B2" w:rsidRDefault="008F66B2">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1E5075" w:rsidRDefault="001E5075">
      <w:pPr>
        <w:keepNext/>
        <w:rPr>
          <w:sz w:val="16"/>
        </w:rPr>
      </w:pPr>
    </w:p>
    <w:p w:rsidR="00E0440D" w:rsidRPr="001E5075" w:rsidRDefault="00967322" w:rsidP="00AD3AF7">
      <w:pPr>
        <w:keepNext/>
        <w:rPr>
          <w:sz w:val="16"/>
        </w:rPr>
      </w:pPr>
      <w:r w:rsidRPr="0010659C">
        <w:rPr>
          <w:sz w:val="16"/>
        </w:rPr>
        <w:fldChar w:fldCharType="begin"/>
      </w:r>
      <w:r w:rsidRPr="0010659C">
        <w:rPr>
          <w:sz w:val="16"/>
        </w:rPr>
        <w:instrText xml:space="preserve"> FILENAME \* Lower\p \* MERGEFORMAT </w:instrText>
      </w:r>
      <w:r w:rsidRPr="0010659C">
        <w:rPr>
          <w:sz w:val="16"/>
        </w:rPr>
        <w:fldChar w:fldCharType="separate"/>
      </w:r>
      <w:r w:rsidR="001E5075">
        <w:rPr>
          <w:noProof/>
          <w:sz w:val="16"/>
        </w:rPr>
        <w:t>q:\cadm\orders\interim\44000\44541 appo4.docx</w:t>
      </w:r>
      <w:r w:rsidRPr="0010659C">
        <w:rPr>
          <w:sz w:val="16"/>
        </w:rPr>
        <w:fldChar w:fldCharType="end"/>
      </w:r>
      <w:r w:rsidR="00AD3AF7">
        <w:rPr>
          <w:sz w:val="16"/>
        </w:rPr>
        <w:t xml:space="preserve">  </w:t>
      </w:r>
    </w:p>
    <w:sectPr w:rsidR="00E0440D" w:rsidRPr="001E5075"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BF5" w:rsidRDefault="00AB4BF5">
      <w:r>
        <w:separator/>
      </w:r>
    </w:p>
  </w:endnote>
  <w:endnote w:type="continuationSeparator" w:id="0">
    <w:p w:rsidR="00AB4BF5" w:rsidRDefault="00AB4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BF5" w:rsidRDefault="00AB4BF5">
      <w:r>
        <w:separator/>
      </w:r>
    </w:p>
  </w:footnote>
  <w:footnote w:type="continuationSeparator" w:id="0">
    <w:p w:rsidR="00AB4BF5" w:rsidRDefault="00AB4BF5">
      <w:r>
        <w:continuationSeparator/>
      </w:r>
    </w:p>
  </w:footnote>
  <w:footnote w:id="1">
    <w:p w:rsidR="00894533" w:rsidRDefault="00894533" w:rsidP="00894533">
      <w:pPr>
        <w:pStyle w:val="FootnoteText"/>
      </w:pPr>
      <w:r>
        <w:rPr>
          <w:rStyle w:val="FootnoteReference"/>
        </w:rPr>
        <w:footnoteRef/>
      </w:r>
      <w:r>
        <w:t xml:space="preserve"> Texas Water Code (TWC) § 13.255(b).</w:t>
      </w:r>
    </w:p>
  </w:footnote>
  <w:footnote w:id="2">
    <w:p w:rsidR="00894533" w:rsidRPr="00BE7F52" w:rsidRDefault="00894533" w:rsidP="00894533">
      <w:pPr>
        <w:pStyle w:val="FootnoteText"/>
      </w:pPr>
      <w:r>
        <w:rPr>
          <w:rStyle w:val="FootnoteReference"/>
        </w:rPr>
        <w:footnoteRef/>
      </w:r>
      <w:r>
        <w:t xml:space="preserve"> </w:t>
      </w:r>
      <w:r>
        <w:rPr>
          <w:i/>
        </w:rPr>
        <w:t>Id</w:t>
      </w:r>
      <w:r>
        <w:t>.</w:t>
      </w:r>
    </w:p>
  </w:footnote>
  <w:footnote w:id="3">
    <w:p w:rsidR="00894533" w:rsidRDefault="00894533" w:rsidP="00894533">
      <w:pPr>
        <w:pStyle w:val="FootnoteText"/>
      </w:pPr>
      <w:r>
        <w:rPr>
          <w:rStyle w:val="FootnoteReference"/>
        </w:rPr>
        <w:footnoteRef/>
      </w:r>
      <w:r>
        <w:t xml:space="preserve"> TWC § 13.255(c).</w:t>
      </w:r>
    </w:p>
  </w:footnote>
  <w:footnote w:id="4">
    <w:p w:rsidR="00894533" w:rsidRDefault="00894533" w:rsidP="00894533">
      <w:pPr>
        <w:pStyle w:val="FootnoteText"/>
      </w:pPr>
      <w:r>
        <w:rPr>
          <w:rStyle w:val="FootnoteReference"/>
        </w:rPr>
        <w:footnoteRef/>
      </w:r>
      <w:r>
        <w:t xml:space="preserve"> 16 Tex. Admin. Code (TAC) § 24.120(h).</w:t>
      </w:r>
    </w:p>
  </w:footnote>
  <w:footnote w:id="5">
    <w:p w:rsidR="00894533" w:rsidRPr="009C7773" w:rsidRDefault="00894533" w:rsidP="00894533">
      <w:pPr>
        <w:pStyle w:val="FootnoteText"/>
      </w:pPr>
      <w:r w:rsidRPr="004A0D49">
        <w:rPr>
          <w:rStyle w:val="FootnoteReference"/>
        </w:rPr>
        <w:footnoteRef/>
      </w:r>
      <w:r w:rsidRPr="004A0D49">
        <w:t xml:space="preserve"> 16 TAC §</w:t>
      </w:r>
      <w:r w:rsidR="00EB59B9">
        <w:t> </w:t>
      </w:r>
      <w:r w:rsidRPr="004A0D49">
        <w:t>24.120(m).</w:t>
      </w:r>
    </w:p>
  </w:footnote>
  <w:footnote w:id="6">
    <w:p w:rsidR="00DB3883" w:rsidRDefault="00DB3883">
      <w:pPr>
        <w:pStyle w:val="FootnoteText"/>
      </w:pPr>
      <w:r>
        <w:rPr>
          <w:rStyle w:val="FootnoteReference"/>
        </w:rPr>
        <w:footnoteRef/>
      </w:r>
      <w:r>
        <w:t xml:space="preserve"> Commission Staff’s Response to Order No. 1 at 2 (April 8, 2015)</w:t>
      </w:r>
      <w:r w:rsidR="001E5075">
        <w:t>.</w:t>
      </w:r>
    </w:p>
  </w:footnote>
  <w:footnote w:id="7">
    <w:p w:rsidR="00A06296" w:rsidRPr="00A06296" w:rsidRDefault="00A06296">
      <w:pPr>
        <w:pStyle w:val="FootnoteText"/>
      </w:pPr>
      <w:r>
        <w:rPr>
          <w:rStyle w:val="FootnoteReference"/>
        </w:rPr>
        <w:footnoteRef/>
      </w:r>
      <w:r>
        <w:t xml:space="preserve"> </w:t>
      </w:r>
      <w:r>
        <w:rPr>
          <w:i/>
        </w:rPr>
        <w:t>Id</w:t>
      </w:r>
      <w:r>
        <w:t>.</w:t>
      </w:r>
    </w:p>
  </w:footnote>
  <w:footnote w:id="8">
    <w:p w:rsidR="00A06296" w:rsidRDefault="00A06296">
      <w:pPr>
        <w:pStyle w:val="FootnoteText"/>
      </w:pPr>
      <w:r>
        <w:rPr>
          <w:rStyle w:val="FootnoteReference"/>
        </w:rPr>
        <w:footnoteRef/>
      </w:r>
      <w:r>
        <w:t xml:space="preserve"> </w:t>
      </w:r>
      <w:r>
        <w:rPr>
          <w:i/>
        </w:rPr>
        <w:t>Id</w:t>
      </w:r>
      <w:r>
        <w:t>.</w:t>
      </w:r>
    </w:p>
  </w:footnote>
  <w:footnote w:id="9">
    <w:p w:rsidR="00AC376C" w:rsidRDefault="00AC376C">
      <w:pPr>
        <w:pStyle w:val="FootnoteText"/>
      </w:pPr>
      <w:r>
        <w:rPr>
          <w:rStyle w:val="FootnoteReference"/>
        </w:rPr>
        <w:footnoteRef/>
      </w:r>
      <w:r>
        <w:t xml:space="preserve"> Commission Staff’s, the city of Heath’s, and Forney Lake’s Joint Proposed Proc</w:t>
      </w:r>
      <w:r w:rsidR="001E5075">
        <w:t>edural Schedule (May 20, 2015).</w:t>
      </w:r>
    </w:p>
  </w:footnote>
  <w:footnote w:id="10">
    <w:p w:rsidR="00CB2CE1" w:rsidRDefault="00CB2CE1">
      <w:pPr>
        <w:pStyle w:val="FootnoteText"/>
      </w:pPr>
      <w:r>
        <w:rPr>
          <w:rStyle w:val="FootnoteReference"/>
        </w:rPr>
        <w:footnoteRef/>
      </w:r>
      <w:r>
        <w:t xml:space="preserve"> Commission Staff’s response to Order No. </w:t>
      </w:r>
      <w:r w:rsidR="00D06422">
        <w:t>2 at 2 (May 20, 2015).</w:t>
      </w:r>
    </w:p>
  </w:footnote>
  <w:footnote w:id="11">
    <w:p w:rsidR="00D06422" w:rsidRPr="00D06422" w:rsidRDefault="00D06422">
      <w:pPr>
        <w:pStyle w:val="FootnoteText"/>
      </w:pPr>
      <w:r>
        <w:rPr>
          <w:rStyle w:val="FootnoteReference"/>
        </w:rPr>
        <w:footnoteRef/>
      </w:r>
      <w:r>
        <w:t xml:space="preserve"> </w:t>
      </w:r>
      <w:r>
        <w:rPr>
          <w:i/>
        </w:rPr>
        <w:t>Id</w:t>
      </w:r>
      <w:r>
        <w:t>.</w:t>
      </w:r>
    </w:p>
  </w:footnote>
  <w:footnote w:id="12">
    <w:p w:rsidR="00F93785" w:rsidRDefault="00F93785">
      <w:pPr>
        <w:pStyle w:val="FootnoteText"/>
      </w:pPr>
      <w:r>
        <w:rPr>
          <w:rStyle w:val="FootnoteReference"/>
        </w:rPr>
        <w:footnoteRef/>
      </w:r>
      <w:r>
        <w:t xml:space="preserve"> City of Heath’s Appeal of Order No. 4 at (June 19,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B16C4B">
    <w:pPr>
      <w:pStyle w:val="Header"/>
      <w:tabs>
        <w:tab w:val="clear" w:pos="4320"/>
        <w:tab w:val="clear" w:pos="8640"/>
        <w:tab w:val="center" w:pos="4680"/>
        <w:tab w:val="right" w:pos="9360"/>
      </w:tabs>
      <w:rPr>
        <w:rStyle w:val="PageNumber"/>
      </w:rPr>
    </w:pPr>
    <w:r>
      <w:t>P</w:t>
    </w:r>
    <w:r w:rsidR="008B4D50">
      <w:t>UC Docket No. 44541</w:t>
    </w:r>
    <w:r>
      <w:tab/>
      <w:t>Order</w:t>
    </w:r>
    <w:r w:rsidR="008B4D50">
      <w:t xml:space="preserve"> on Appeal of Order No. 4</w:t>
    </w:r>
    <w:r>
      <w:tab/>
      <w:t xml:space="preserve">Page </w:t>
    </w:r>
    <w:r>
      <w:rPr>
        <w:rStyle w:val="PageNumber"/>
      </w:rPr>
      <w:fldChar w:fldCharType="begin"/>
    </w:r>
    <w:r>
      <w:rPr>
        <w:rStyle w:val="PageNumber"/>
      </w:rPr>
      <w:instrText xml:space="preserve"> PAGE </w:instrText>
    </w:r>
    <w:r>
      <w:rPr>
        <w:rStyle w:val="PageNumber"/>
      </w:rPr>
      <w:fldChar w:fldCharType="separate"/>
    </w:r>
    <w:r w:rsidR="00EA5E77">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A5E77">
      <w:rPr>
        <w:rStyle w:val="PageNumber"/>
        <w:noProof/>
      </w:rPr>
      <w:t>5</w:t>
    </w:r>
    <w:r>
      <w:rPr>
        <w:rStyle w:val="PageNumber"/>
      </w:rPr>
      <w:fldChar w:fldCharType="end"/>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 w15:restartNumberingAfterBreak="0">
    <w:nsid w:val="62F06138"/>
    <w:multiLevelType w:val="multilevel"/>
    <w:tmpl w:val="EEF86852"/>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6"/>
  </w:num>
  <w:num w:numId="2">
    <w:abstractNumId w:val="6"/>
  </w:num>
  <w:num w:numId="3">
    <w:abstractNumId w:val="6"/>
  </w:num>
  <w:num w:numId="4">
    <w:abstractNumId w:val="6"/>
  </w:num>
  <w:num w:numId="5">
    <w:abstractNumId w:val="0"/>
  </w:num>
  <w:num w:numId="6">
    <w:abstractNumId w:val="5"/>
  </w:num>
  <w:num w:numId="7">
    <w:abstractNumId w:val="5"/>
    <w:lvlOverride w:ilvl="0">
      <w:startOverride w:val="1"/>
    </w:lvlOverride>
  </w:num>
  <w:num w:numId="8">
    <w:abstractNumId w:val="1"/>
  </w:num>
  <w:num w:numId="9">
    <w:abstractNumId w:val="2"/>
  </w:num>
  <w:num w:numId="10">
    <w:abstractNumId w:val="6"/>
  </w:num>
  <w:num w:numId="11">
    <w:abstractNumId w:val="6"/>
  </w:num>
  <w:num w:numId="12">
    <w:abstractNumId w:val="2"/>
  </w:num>
  <w:num w:numId="13">
    <w:abstractNumId w:val="6"/>
  </w:num>
  <w:num w:numId="14">
    <w:abstractNumId w:val="2"/>
  </w:num>
  <w:num w:numId="15">
    <w:abstractNumId w:val="3"/>
  </w:num>
  <w:num w:numId="16">
    <w:abstractNumId w:val="3"/>
  </w:num>
  <w:num w:numId="17">
    <w:abstractNumId w:val="3"/>
  </w:num>
  <w:num w:numId="18">
    <w:abstractNumId w:val="3"/>
  </w:num>
  <w:num w:numId="19">
    <w:abstractNumId w:val="6"/>
  </w:num>
  <w:num w:numId="20">
    <w:abstractNumId w:val="2"/>
  </w:num>
  <w:num w:numId="21">
    <w:abstractNumId w:val="3"/>
  </w:num>
  <w:num w:numId="22">
    <w:abstractNumId w:val="3"/>
  </w:num>
  <w:num w:numId="23">
    <w:abstractNumId w:val="3"/>
  </w:num>
  <w:num w:numId="24">
    <w:abstractNumId w:val="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BF5"/>
    <w:rsid w:val="00040455"/>
    <w:rsid w:val="00070BF2"/>
    <w:rsid w:val="00077D4A"/>
    <w:rsid w:val="000812EE"/>
    <w:rsid w:val="000C1AB7"/>
    <w:rsid w:val="0010502B"/>
    <w:rsid w:val="0010659C"/>
    <w:rsid w:val="001254FB"/>
    <w:rsid w:val="0015552F"/>
    <w:rsid w:val="001679D6"/>
    <w:rsid w:val="00175869"/>
    <w:rsid w:val="001C44B4"/>
    <w:rsid w:val="001E5075"/>
    <w:rsid w:val="001F7869"/>
    <w:rsid w:val="002711A6"/>
    <w:rsid w:val="00282FA7"/>
    <w:rsid w:val="002868A2"/>
    <w:rsid w:val="002A1501"/>
    <w:rsid w:val="002C2B5C"/>
    <w:rsid w:val="002D4369"/>
    <w:rsid w:val="00304B35"/>
    <w:rsid w:val="00337DF0"/>
    <w:rsid w:val="00342493"/>
    <w:rsid w:val="003535F3"/>
    <w:rsid w:val="0036472C"/>
    <w:rsid w:val="00370B07"/>
    <w:rsid w:val="003756DA"/>
    <w:rsid w:val="00376FC3"/>
    <w:rsid w:val="003B45AE"/>
    <w:rsid w:val="003E1BD1"/>
    <w:rsid w:val="003E3C10"/>
    <w:rsid w:val="003F1A29"/>
    <w:rsid w:val="00415C67"/>
    <w:rsid w:val="004B1C7B"/>
    <w:rsid w:val="004B7451"/>
    <w:rsid w:val="004C31B3"/>
    <w:rsid w:val="00501DAC"/>
    <w:rsid w:val="00580522"/>
    <w:rsid w:val="006633C6"/>
    <w:rsid w:val="00680DE9"/>
    <w:rsid w:val="0069556E"/>
    <w:rsid w:val="006E2930"/>
    <w:rsid w:val="006F1F39"/>
    <w:rsid w:val="00715895"/>
    <w:rsid w:val="00772C9D"/>
    <w:rsid w:val="007C59E3"/>
    <w:rsid w:val="007E346D"/>
    <w:rsid w:val="00836BCF"/>
    <w:rsid w:val="008439DC"/>
    <w:rsid w:val="00852E35"/>
    <w:rsid w:val="00894533"/>
    <w:rsid w:val="00896CE7"/>
    <w:rsid w:val="008A1D27"/>
    <w:rsid w:val="008B4D50"/>
    <w:rsid w:val="008D3357"/>
    <w:rsid w:val="008F66B2"/>
    <w:rsid w:val="00967322"/>
    <w:rsid w:val="00977223"/>
    <w:rsid w:val="009A287F"/>
    <w:rsid w:val="009B55C3"/>
    <w:rsid w:val="009B61FA"/>
    <w:rsid w:val="009E5651"/>
    <w:rsid w:val="00A06296"/>
    <w:rsid w:val="00A11101"/>
    <w:rsid w:val="00A52991"/>
    <w:rsid w:val="00A94B1D"/>
    <w:rsid w:val="00AB4BF5"/>
    <w:rsid w:val="00AB7365"/>
    <w:rsid w:val="00AC376C"/>
    <w:rsid w:val="00AD3AF7"/>
    <w:rsid w:val="00B15B69"/>
    <w:rsid w:val="00B16C4B"/>
    <w:rsid w:val="00BB22CB"/>
    <w:rsid w:val="00BB41C5"/>
    <w:rsid w:val="00C36161"/>
    <w:rsid w:val="00C36761"/>
    <w:rsid w:val="00CB2CE1"/>
    <w:rsid w:val="00CC11F9"/>
    <w:rsid w:val="00CD78C8"/>
    <w:rsid w:val="00D0614C"/>
    <w:rsid w:val="00D06422"/>
    <w:rsid w:val="00D0672D"/>
    <w:rsid w:val="00D10BD6"/>
    <w:rsid w:val="00D23C1A"/>
    <w:rsid w:val="00D276F2"/>
    <w:rsid w:val="00DB3883"/>
    <w:rsid w:val="00DB4B7E"/>
    <w:rsid w:val="00E0317C"/>
    <w:rsid w:val="00E0440D"/>
    <w:rsid w:val="00E43B5F"/>
    <w:rsid w:val="00E644EA"/>
    <w:rsid w:val="00E9350F"/>
    <w:rsid w:val="00EA5E77"/>
    <w:rsid w:val="00EB59B9"/>
    <w:rsid w:val="00F46A0E"/>
    <w:rsid w:val="00F533B1"/>
    <w:rsid w:val="00F93785"/>
    <w:rsid w:val="00FB52D3"/>
    <w:rsid w:val="00FB754A"/>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chartTrackingRefBased/>
  <w15:docId w15:val="{05AFD492-E83F-41D8-A18C-495BBFAE2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rsid w:val="0010659C"/>
    <w:rPr>
      <w:rFonts w:ascii="Segoe UI" w:hAnsi="Segoe UI" w:cs="Segoe UI"/>
      <w:sz w:val="18"/>
      <w:szCs w:val="18"/>
    </w:rPr>
  </w:style>
  <w:style w:type="character" w:customStyle="1" w:styleId="BalloonTextChar">
    <w:name w:val="Balloon Text Char"/>
    <w:basedOn w:val="DefaultParagraphFont"/>
    <w:link w:val="BalloonText"/>
    <w:rsid w:val="0010659C"/>
    <w:rPr>
      <w:rFonts w:ascii="Segoe UI" w:hAnsi="Segoe UI" w:cs="Segoe UI"/>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798F3-54AF-4C16-9447-4FCEFE2E1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40</TotalTime>
  <Pages>5</Pages>
  <Words>1293</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8630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subject/>
  <dc:creator>Dwyer, Davida</dc:creator>
  <cp:keywords/>
  <cp:lastModifiedBy>Roundtree-Williams, Keva</cp:lastModifiedBy>
  <cp:revision>9</cp:revision>
  <cp:lastPrinted>2015-08-19T14:29:00Z</cp:lastPrinted>
  <dcterms:created xsi:type="dcterms:W3CDTF">2015-08-19T01:17:00Z</dcterms:created>
  <dcterms:modified xsi:type="dcterms:W3CDTF">2015-08-19T15:25:00Z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